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05" w:rsidRDefault="00B00C05" w:rsidP="00B939CA">
      <w:pPr>
        <w:pStyle w:val="Heading1"/>
      </w:pPr>
      <w:r w:rsidRPr="003E0406">
        <w:t xml:space="preserve">PLANT DIAGNOSTIC </w:t>
      </w:r>
      <w:r w:rsidRPr="003E0406">
        <w:t>LABORATORY</w:t>
      </w:r>
    </w:p>
    <w:p w:rsidR="00B00C05" w:rsidRDefault="00B00C05" w:rsidP="00B00C05">
      <w:r>
        <w:t>The Mississippi State University Extension Service Plant Diagnostic Laboratory (MPDL) pr</w:t>
      </w:r>
      <w:r>
        <w:t xml:space="preserve">ovides rapid and accurate plant </w:t>
      </w:r>
      <w:r>
        <w:t>disease and nematode diagnostic services, which include detailed cultural and chemical</w:t>
      </w:r>
      <w:r>
        <w:t xml:space="preserve"> management strategies based on </w:t>
      </w:r>
      <w:r>
        <w:t>current science and tailored specifically to each individual situation.</w:t>
      </w:r>
      <w:r w:rsidR="003E0406">
        <w:br/>
      </w:r>
    </w:p>
    <w:p w:rsidR="00B00C05" w:rsidRPr="00B00C05" w:rsidRDefault="00B939CA" w:rsidP="00B939CA">
      <w:pPr>
        <w:pStyle w:val="Heading2"/>
      </w:pPr>
      <w:r w:rsidRPr="00B00C05">
        <w:t>Let us help you:</w:t>
      </w:r>
    </w:p>
    <w:p w:rsidR="00B00C05" w:rsidRPr="00B00C05" w:rsidRDefault="00B00C05" w:rsidP="00B00C05">
      <w:pPr>
        <w:pStyle w:val="ListParagraph"/>
        <w:numPr>
          <w:ilvl w:val="0"/>
          <w:numId w:val="3"/>
        </w:numPr>
      </w:pPr>
      <w:r w:rsidRPr="00B00C05">
        <w:t>Improve plant vigor</w:t>
      </w:r>
    </w:p>
    <w:p w:rsidR="00B00C05" w:rsidRPr="00B00C05" w:rsidRDefault="00B00C05" w:rsidP="00B00C05">
      <w:pPr>
        <w:pStyle w:val="ListParagraph"/>
        <w:numPr>
          <w:ilvl w:val="0"/>
          <w:numId w:val="3"/>
        </w:numPr>
      </w:pPr>
      <w:r w:rsidRPr="00B00C05">
        <w:t>Prevent or manage disease problems</w:t>
      </w:r>
    </w:p>
    <w:p w:rsidR="00B00C05" w:rsidRDefault="00B00C05" w:rsidP="00B00C05">
      <w:pPr>
        <w:pStyle w:val="ListParagraph"/>
        <w:numPr>
          <w:ilvl w:val="0"/>
          <w:numId w:val="3"/>
        </w:numPr>
      </w:pPr>
      <w:r w:rsidRPr="00B00C05">
        <w:t>Be a good steward of the environment</w:t>
      </w:r>
    </w:p>
    <w:p w:rsidR="00B00C05" w:rsidRPr="00B939CA" w:rsidRDefault="00B939CA" w:rsidP="00B939CA">
      <w:pPr>
        <w:pStyle w:val="Heading2"/>
      </w:pPr>
      <w:r w:rsidRPr="00B939CA">
        <w:t>Clients we serve:</w:t>
      </w:r>
    </w:p>
    <w:p w:rsidR="00B00C05" w:rsidRDefault="00B00C05" w:rsidP="00B00C05">
      <w:pPr>
        <w:pStyle w:val="ListParagraph"/>
        <w:numPr>
          <w:ilvl w:val="0"/>
          <w:numId w:val="5"/>
        </w:numPr>
      </w:pPr>
      <w:r>
        <w:t>Residential (general public)</w:t>
      </w:r>
    </w:p>
    <w:p w:rsidR="00B00C05" w:rsidRDefault="00B00C05" w:rsidP="00B00C05">
      <w:pPr>
        <w:pStyle w:val="ListParagraph"/>
        <w:numPr>
          <w:ilvl w:val="0"/>
          <w:numId w:val="5"/>
        </w:numPr>
      </w:pPr>
      <w:r>
        <w:t>Commercial</w:t>
      </w:r>
    </w:p>
    <w:p w:rsidR="00B00C05" w:rsidRDefault="00B00C05" w:rsidP="00B00C05">
      <w:pPr>
        <w:pStyle w:val="ListParagraph"/>
        <w:numPr>
          <w:ilvl w:val="0"/>
          <w:numId w:val="5"/>
        </w:numPr>
      </w:pPr>
      <w:r>
        <w:t>Research and government regulatory agencies</w:t>
      </w:r>
    </w:p>
    <w:p w:rsidR="00B00C05" w:rsidRDefault="00B00C05" w:rsidP="00B00C05">
      <w:pPr>
        <w:spacing w:line="240" w:lineRule="auto"/>
      </w:pPr>
      <w:r>
        <w:t>The MPDL is a member of the National Plant Diagnostic</w:t>
      </w:r>
      <w:r>
        <w:t xml:space="preserve"> </w:t>
      </w:r>
      <w:r>
        <w:t>Network (NPDN), an inter</w:t>
      </w:r>
      <w:r>
        <w:t xml:space="preserve">nationally respected consortium </w:t>
      </w:r>
      <w:r>
        <w:t>of plant diagnostic labor</w:t>
      </w:r>
      <w:r>
        <w:t xml:space="preserve">atories supported by USDA-NIFA, </w:t>
      </w:r>
      <w:r>
        <w:t>and shares the NPDN missi</w:t>
      </w:r>
      <w:r>
        <w:t xml:space="preserve">on of protecting the health and </w:t>
      </w:r>
      <w:r>
        <w:t>productivity of U.S. agri</w:t>
      </w:r>
      <w:r>
        <w:t xml:space="preserve">culture through rapid detection </w:t>
      </w:r>
      <w:r>
        <w:t>and communication of new and emerging plant problems.</w:t>
      </w:r>
    </w:p>
    <w:p w:rsidR="00B00C05" w:rsidRPr="00B939CA" w:rsidRDefault="00B939CA" w:rsidP="00B939CA">
      <w:pPr>
        <w:pStyle w:val="Heading2"/>
      </w:pPr>
      <w:r w:rsidRPr="00B939CA">
        <w:t>Diagnostic services</w:t>
      </w:r>
    </w:p>
    <w:p w:rsidR="00B00C05" w:rsidRDefault="00B00C05" w:rsidP="00B00C05">
      <w:pPr>
        <w:pStyle w:val="ListParagraph"/>
        <w:numPr>
          <w:ilvl w:val="0"/>
          <w:numId w:val="5"/>
        </w:numPr>
      </w:pPr>
      <w:r>
        <w:t>Plant disease diagnosis</w:t>
      </w:r>
    </w:p>
    <w:p w:rsidR="00B00C05" w:rsidRDefault="00B00C05" w:rsidP="00B00C05">
      <w:pPr>
        <w:pStyle w:val="ListParagraph"/>
        <w:numPr>
          <w:ilvl w:val="0"/>
          <w:numId w:val="5"/>
        </w:numPr>
      </w:pPr>
      <w:r>
        <w:t>Plant parasitic nematode quantification and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identification (to genus level)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Acremonium endophyte screening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Digitally assisted diagnostics through digital photo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submission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Case-specific management recommendations</w:t>
      </w:r>
    </w:p>
    <w:p w:rsidR="00B00C05" w:rsidRDefault="00B00C05" w:rsidP="00B00C05">
      <w:pPr>
        <w:pStyle w:val="ListParagraph"/>
        <w:numPr>
          <w:ilvl w:val="0"/>
          <w:numId w:val="6"/>
        </w:numPr>
      </w:pPr>
      <w:r>
        <w:t>Electronic plant diagnostic reports and invoicing</w:t>
      </w:r>
    </w:p>
    <w:p w:rsidR="00B00C05" w:rsidRPr="00B939CA" w:rsidRDefault="00B939CA" w:rsidP="00B939CA">
      <w:pPr>
        <w:pStyle w:val="Heading2"/>
      </w:pPr>
      <w:bookmarkStart w:id="0" w:name="_GoBack"/>
      <w:r w:rsidRPr="00B939CA">
        <w:t>How to submit samples</w:t>
      </w:r>
    </w:p>
    <w:bookmarkEnd w:id="0"/>
    <w:p w:rsidR="00B00C05" w:rsidRDefault="00B00C05" w:rsidP="00B00C05">
      <w:pPr>
        <w:spacing w:line="240" w:lineRule="auto"/>
      </w:pPr>
      <w:r>
        <w:t>Sample submission forms, instructions for sample</w:t>
      </w:r>
      <w:r>
        <w:t xml:space="preserve"> </w:t>
      </w:r>
      <w:r>
        <w:t xml:space="preserve">collection and shipping, as well </w:t>
      </w:r>
      <w:r>
        <w:t xml:space="preserve">as a list of fees are available </w:t>
      </w:r>
      <w:r>
        <w:t xml:space="preserve">from your county Extension </w:t>
      </w:r>
      <w:r>
        <w:t xml:space="preserve">office and at </w:t>
      </w:r>
      <w:hyperlink r:id="rId5" w:history="1">
        <w:r w:rsidRPr="00B00C05">
          <w:rPr>
            <w:rStyle w:val="Hyperlink"/>
          </w:rPr>
          <w:t>http://extension.msstate.edu/lab</w:t>
        </w:r>
      </w:hyperlink>
      <w:r>
        <w:t>.</w:t>
      </w:r>
    </w:p>
    <w:p w:rsidR="00B00C05" w:rsidRDefault="00B00C05" w:rsidP="00B00C05">
      <w:pPr>
        <w:spacing w:line="240" w:lineRule="auto"/>
      </w:pPr>
    </w:p>
    <w:p w:rsidR="003E0406" w:rsidRDefault="003E0406" w:rsidP="00B00C05">
      <w:pPr>
        <w:spacing w:line="240" w:lineRule="auto"/>
      </w:pPr>
    </w:p>
    <w:p w:rsidR="00B00C05" w:rsidRDefault="00B00C05" w:rsidP="00B00C0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0C05" w:rsidTr="00B00C05">
        <w:tc>
          <w:tcPr>
            <w:tcW w:w="3116" w:type="dxa"/>
            <w:tcBorders>
              <w:right w:val="nil"/>
            </w:tcBorders>
          </w:tcPr>
          <w:p w:rsidR="00B00C05" w:rsidRPr="003E0406" w:rsidRDefault="00B939CA" w:rsidP="00B00C05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>Fees</w:t>
            </w:r>
            <w:r w:rsidR="00B00C05" w:rsidRPr="003E0406">
              <w:rPr>
                <w:sz w:val="28"/>
              </w:rPr>
              <w:t xml:space="preserve"> </w:t>
            </w:r>
            <w:r w:rsidR="00B00C05" w:rsidRPr="003E0406">
              <w:rPr>
                <w:i/>
                <w:sz w:val="28"/>
              </w:rPr>
              <w:t>(per sample)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B00C05" w:rsidRDefault="00B00C05" w:rsidP="00B00C05"/>
        </w:tc>
        <w:tc>
          <w:tcPr>
            <w:tcW w:w="3117" w:type="dxa"/>
            <w:tcBorders>
              <w:left w:val="nil"/>
            </w:tcBorders>
          </w:tcPr>
          <w:p w:rsidR="00B00C05" w:rsidRDefault="00B00C05" w:rsidP="00B00C05"/>
        </w:tc>
      </w:tr>
      <w:tr w:rsidR="00B00C05" w:rsidTr="00B00C05">
        <w:tc>
          <w:tcPr>
            <w:tcW w:w="3116" w:type="dxa"/>
          </w:tcPr>
          <w:p w:rsidR="00B00C05" w:rsidRPr="00B00C05" w:rsidRDefault="00B939CA" w:rsidP="00B00C05">
            <w:pPr>
              <w:rPr>
                <w:b/>
              </w:rPr>
            </w:pPr>
            <w:r>
              <w:rPr>
                <w:b/>
              </w:rPr>
              <w:t>Plant D</w:t>
            </w:r>
            <w:r w:rsidRPr="00B00C05">
              <w:rPr>
                <w:b/>
              </w:rPr>
              <w:t>isease</w:t>
            </w:r>
          </w:p>
        </w:tc>
        <w:tc>
          <w:tcPr>
            <w:tcW w:w="3117" w:type="dxa"/>
          </w:tcPr>
          <w:p w:rsidR="00B00C05" w:rsidRPr="00B00C05" w:rsidRDefault="00B939CA" w:rsidP="00B00C05">
            <w:pPr>
              <w:jc w:val="center"/>
              <w:rPr>
                <w:b/>
              </w:rPr>
            </w:pPr>
            <w:r w:rsidRPr="00B00C05">
              <w:rPr>
                <w:b/>
              </w:rPr>
              <w:t xml:space="preserve">Sample </w:t>
            </w:r>
            <w:r w:rsidR="00B00C05" w:rsidRPr="00B00C05">
              <w:rPr>
                <w:b/>
              </w:rPr>
              <w:br/>
            </w:r>
            <w:r>
              <w:rPr>
                <w:b/>
              </w:rPr>
              <w:t>From MS</w:t>
            </w:r>
          </w:p>
        </w:tc>
        <w:tc>
          <w:tcPr>
            <w:tcW w:w="3117" w:type="dxa"/>
          </w:tcPr>
          <w:p w:rsidR="00B00C05" w:rsidRPr="00B00C05" w:rsidRDefault="00B939CA" w:rsidP="00B939CA">
            <w:pPr>
              <w:jc w:val="center"/>
              <w:rPr>
                <w:b/>
              </w:rPr>
            </w:pPr>
            <w:r w:rsidRPr="00B00C05">
              <w:rPr>
                <w:b/>
              </w:rPr>
              <w:t>Sample</w:t>
            </w:r>
            <w:r>
              <w:rPr>
                <w:b/>
              </w:rPr>
              <w:t xml:space="preserve"> From</w:t>
            </w:r>
            <w:r w:rsidR="00B00C05" w:rsidRPr="00B00C05">
              <w:rPr>
                <w:b/>
              </w:rPr>
              <w:t xml:space="preserve"> </w:t>
            </w:r>
            <w:r w:rsidR="00B00C05" w:rsidRPr="00B00C05">
              <w:rPr>
                <w:b/>
              </w:rPr>
              <w:br/>
            </w:r>
            <w:r>
              <w:rPr>
                <w:b/>
              </w:rPr>
              <w:t>O</w:t>
            </w:r>
            <w:r w:rsidRPr="00B00C05">
              <w:rPr>
                <w:b/>
              </w:rPr>
              <w:t xml:space="preserve">utside </w:t>
            </w:r>
            <w:r>
              <w:rPr>
                <w:b/>
              </w:rPr>
              <w:t>MS</w:t>
            </w:r>
          </w:p>
        </w:tc>
      </w:tr>
      <w:tr w:rsidR="00B00C05" w:rsidTr="00B00C05">
        <w:tc>
          <w:tcPr>
            <w:tcW w:w="3116" w:type="dxa"/>
          </w:tcPr>
          <w:p w:rsidR="00B00C05" w:rsidRDefault="00B00C05" w:rsidP="00B00C05">
            <w:r>
              <w:t>Gold course turf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$25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$35</w:t>
            </w:r>
          </w:p>
        </w:tc>
      </w:tr>
      <w:tr w:rsidR="00B00C05" w:rsidTr="00B00C05">
        <w:tc>
          <w:tcPr>
            <w:tcW w:w="3116" w:type="dxa"/>
          </w:tcPr>
          <w:p w:rsidR="00B00C05" w:rsidRDefault="00B00C05" w:rsidP="00B00C05">
            <w:r>
              <w:t>General plant disease*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$10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$20</w:t>
            </w:r>
          </w:p>
        </w:tc>
      </w:tr>
      <w:tr w:rsidR="00B00C05" w:rsidTr="00B00C05">
        <w:tc>
          <w:tcPr>
            <w:tcW w:w="3116" w:type="dxa"/>
          </w:tcPr>
          <w:p w:rsidR="00B00C05" w:rsidRDefault="00B00C05" w:rsidP="00B00C05">
            <w:r>
              <w:t>Fescue endophyte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$25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  <w:r>
              <w:t>$25</w:t>
            </w:r>
          </w:p>
        </w:tc>
      </w:tr>
      <w:tr w:rsidR="00B00C05" w:rsidTr="00B00C05">
        <w:tc>
          <w:tcPr>
            <w:tcW w:w="3116" w:type="dxa"/>
          </w:tcPr>
          <w:p w:rsidR="00B00C05" w:rsidRDefault="00B00C05" w:rsidP="00B00C05">
            <w:r>
              <w:t xml:space="preserve">MSU federally funded </w:t>
            </w:r>
            <w:r w:rsidR="003E0406">
              <w:br/>
            </w:r>
            <w:r>
              <w:t>research</w:t>
            </w:r>
          </w:p>
        </w:tc>
        <w:tc>
          <w:tcPr>
            <w:tcW w:w="3117" w:type="dxa"/>
          </w:tcPr>
          <w:p w:rsidR="00B00C05" w:rsidRDefault="003E0406" w:rsidP="003E0406">
            <w:pPr>
              <w:jc w:val="center"/>
            </w:pPr>
            <w:r>
              <w:t>$6</w:t>
            </w:r>
          </w:p>
        </w:tc>
        <w:tc>
          <w:tcPr>
            <w:tcW w:w="3117" w:type="dxa"/>
          </w:tcPr>
          <w:p w:rsidR="00B00C05" w:rsidRDefault="00B00C05" w:rsidP="003E0406">
            <w:pPr>
              <w:jc w:val="center"/>
            </w:pPr>
          </w:p>
        </w:tc>
      </w:tr>
      <w:tr w:rsidR="00B00C05" w:rsidTr="003E0406">
        <w:tc>
          <w:tcPr>
            <w:tcW w:w="3116" w:type="dxa"/>
            <w:tcBorders>
              <w:bottom w:val="single" w:sz="4" w:space="0" w:color="auto"/>
            </w:tcBorders>
          </w:tcPr>
          <w:p w:rsidR="00B00C05" w:rsidRDefault="003E0406" w:rsidP="00B00C05">
            <w:r>
              <w:t>Digital photos only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00C05" w:rsidRDefault="003E0406" w:rsidP="003E0406">
            <w:pPr>
              <w:jc w:val="center"/>
            </w:pPr>
            <w:r>
              <w:t>Free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E0406" w:rsidRDefault="003E0406" w:rsidP="003E0406">
            <w:pPr>
              <w:jc w:val="center"/>
            </w:pPr>
            <w:r>
              <w:t>Free</w:t>
            </w:r>
          </w:p>
        </w:tc>
      </w:tr>
      <w:tr w:rsidR="00B00C05" w:rsidTr="003E0406">
        <w:tc>
          <w:tcPr>
            <w:tcW w:w="3116" w:type="dxa"/>
            <w:tcBorders>
              <w:right w:val="nil"/>
            </w:tcBorders>
          </w:tcPr>
          <w:p w:rsidR="00B00C05" w:rsidRDefault="00B00C05" w:rsidP="00B00C05"/>
        </w:tc>
        <w:tc>
          <w:tcPr>
            <w:tcW w:w="3117" w:type="dxa"/>
            <w:tcBorders>
              <w:left w:val="nil"/>
              <w:right w:val="nil"/>
            </w:tcBorders>
          </w:tcPr>
          <w:p w:rsidR="00B00C05" w:rsidRDefault="00B00C05" w:rsidP="00B00C05"/>
        </w:tc>
        <w:tc>
          <w:tcPr>
            <w:tcW w:w="3117" w:type="dxa"/>
            <w:tcBorders>
              <w:left w:val="nil"/>
            </w:tcBorders>
          </w:tcPr>
          <w:p w:rsidR="00B00C05" w:rsidRDefault="00B00C05" w:rsidP="00B00C05"/>
        </w:tc>
      </w:tr>
      <w:tr w:rsidR="003E0406" w:rsidTr="00B00C05">
        <w:tc>
          <w:tcPr>
            <w:tcW w:w="3116" w:type="dxa"/>
          </w:tcPr>
          <w:p w:rsidR="003E0406" w:rsidRPr="003E0406" w:rsidRDefault="00B939CA" w:rsidP="003E0406">
            <w:pPr>
              <w:jc w:val="center"/>
              <w:rPr>
                <w:b/>
              </w:rPr>
            </w:pPr>
            <w:r w:rsidRPr="003E0406">
              <w:rPr>
                <w:b/>
              </w:rPr>
              <w:t>Nematode</w:t>
            </w:r>
          </w:p>
        </w:tc>
        <w:tc>
          <w:tcPr>
            <w:tcW w:w="3117" w:type="dxa"/>
          </w:tcPr>
          <w:p w:rsidR="003E0406" w:rsidRPr="003E0406" w:rsidRDefault="00B939CA" w:rsidP="00B939CA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</w:rPr>
              <w:br/>
              <w:t>F</w:t>
            </w:r>
            <w:r w:rsidRPr="003E0406">
              <w:rPr>
                <w:b/>
              </w:rPr>
              <w:t xml:space="preserve">rom </w:t>
            </w:r>
            <w:r>
              <w:rPr>
                <w:b/>
              </w:rPr>
              <w:t>MS</w:t>
            </w:r>
          </w:p>
        </w:tc>
        <w:tc>
          <w:tcPr>
            <w:tcW w:w="3117" w:type="dxa"/>
          </w:tcPr>
          <w:p w:rsidR="003E0406" w:rsidRPr="003E0406" w:rsidRDefault="00B939CA" w:rsidP="003E0406">
            <w:pPr>
              <w:jc w:val="center"/>
              <w:rPr>
                <w:b/>
              </w:rPr>
            </w:pPr>
            <w:r w:rsidRPr="003E0406">
              <w:rPr>
                <w:b/>
              </w:rPr>
              <w:t>S</w:t>
            </w:r>
            <w:r>
              <w:rPr>
                <w:b/>
              </w:rPr>
              <w:t xml:space="preserve">ample From </w:t>
            </w:r>
            <w:r>
              <w:rPr>
                <w:b/>
              </w:rPr>
              <w:br/>
              <w:t xml:space="preserve">Outside </w:t>
            </w:r>
            <w:proofErr w:type="spellStart"/>
            <w:r>
              <w:rPr>
                <w:b/>
              </w:rPr>
              <w:t>M</w:t>
            </w:r>
            <w:r w:rsidRPr="003E0406">
              <w:rPr>
                <w:b/>
              </w:rPr>
              <w:t>s</w:t>
            </w:r>
            <w:proofErr w:type="spellEnd"/>
          </w:p>
        </w:tc>
      </w:tr>
      <w:tr w:rsidR="003E0406" w:rsidTr="00B00C05">
        <w:tc>
          <w:tcPr>
            <w:tcW w:w="3116" w:type="dxa"/>
          </w:tcPr>
          <w:p w:rsidR="003E0406" w:rsidRPr="003E0406" w:rsidRDefault="003E0406" w:rsidP="003E0406">
            <w:r w:rsidRPr="003E0406">
              <w:t>General nematode analysis</w:t>
            </w:r>
          </w:p>
        </w:tc>
        <w:tc>
          <w:tcPr>
            <w:tcW w:w="3117" w:type="dxa"/>
          </w:tcPr>
          <w:p w:rsidR="003E0406" w:rsidRPr="003E0406" w:rsidRDefault="003E0406" w:rsidP="003E0406">
            <w:pPr>
              <w:jc w:val="center"/>
            </w:pPr>
            <w:r w:rsidRPr="003E0406">
              <w:t>$11</w:t>
            </w:r>
          </w:p>
        </w:tc>
        <w:tc>
          <w:tcPr>
            <w:tcW w:w="3117" w:type="dxa"/>
          </w:tcPr>
          <w:p w:rsidR="003E0406" w:rsidRPr="007B6D0A" w:rsidRDefault="003E0406" w:rsidP="003E0406">
            <w:pPr>
              <w:jc w:val="center"/>
            </w:pPr>
            <w:r w:rsidRPr="007B6D0A">
              <w:t>$20</w:t>
            </w:r>
          </w:p>
        </w:tc>
      </w:tr>
      <w:tr w:rsidR="003E0406" w:rsidTr="00B00C05">
        <w:tc>
          <w:tcPr>
            <w:tcW w:w="3116" w:type="dxa"/>
          </w:tcPr>
          <w:p w:rsidR="003E0406" w:rsidRPr="003E0406" w:rsidRDefault="003E0406" w:rsidP="003E0406">
            <w:r w:rsidRPr="003E0406">
              <w:t>Pinewood nematode</w:t>
            </w:r>
            <w:r w:rsidRPr="003E0406">
              <w:br/>
              <w:t>(regulatory)</w:t>
            </w:r>
          </w:p>
        </w:tc>
        <w:tc>
          <w:tcPr>
            <w:tcW w:w="3117" w:type="dxa"/>
          </w:tcPr>
          <w:p w:rsidR="003E0406" w:rsidRPr="003E0406" w:rsidRDefault="003E0406" w:rsidP="003E0406">
            <w:pPr>
              <w:jc w:val="center"/>
            </w:pPr>
            <w:r w:rsidRPr="003E0406">
              <w:t>$30</w:t>
            </w:r>
          </w:p>
        </w:tc>
        <w:tc>
          <w:tcPr>
            <w:tcW w:w="3117" w:type="dxa"/>
          </w:tcPr>
          <w:p w:rsidR="003E0406" w:rsidRPr="007B6D0A" w:rsidRDefault="003E0406" w:rsidP="003E0406">
            <w:pPr>
              <w:jc w:val="center"/>
            </w:pPr>
            <w:r w:rsidRPr="007B6D0A">
              <w:t>$30</w:t>
            </w:r>
          </w:p>
        </w:tc>
      </w:tr>
      <w:tr w:rsidR="003E0406" w:rsidTr="00B00C05">
        <w:tc>
          <w:tcPr>
            <w:tcW w:w="3116" w:type="dxa"/>
          </w:tcPr>
          <w:p w:rsidR="003E0406" w:rsidRPr="003E0406" w:rsidRDefault="003E0406" w:rsidP="003E0406">
            <w:r w:rsidRPr="003E0406">
              <w:t>MSU research</w:t>
            </w:r>
          </w:p>
        </w:tc>
        <w:tc>
          <w:tcPr>
            <w:tcW w:w="3117" w:type="dxa"/>
          </w:tcPr>
          <w:p w:rsidR="003E0406" w:rsidRPr="003E0406" w:rsidRDefault="003E0406" w:rsidP="003E0406">
            <w:pPr>
              <w:jc w:val="center"/>
            </w:pPr>
            <w:r w:rsidRPr="003E0406">
              <w:t>$5</w:t>
            </w:r>
          </w:p>
        </w:tc>
        <w:tc>
          <w:tcPr>
            <w:tcW w:w="3117" w:type="dxa"/>
          </w:tcPr>
          <w:p w:rsidR="003E0406" w:rsidRDefault="003E0406" w:rsidP="003E0406">
            <w:pPr>
              <w:jc w:val="center"/>
              <w:rPr>
                <w:b/>
              </w:rPr>
            </w:pPr>
          </w:p>
        </w:tc>
      </w:tr>
    </w:tbl>
    <w:p w:rsidR="00B00C05" w:rsidRDefault="00B00C05" w:rsidP="003E0406">
      <w:pPr>
        <w:spacing w:line="240" w:lineRule="auto"/>
        <w:rPr>
          <w:rFonts w:ascii="OpenSans-Semibold" w:hAnsi="OpenSans-Semibold" w:cs="OpenSans-Semibold"/>
          <w:sz w:val="16"/>
          <w:szCs w:val="16"/>
        </w:rPr>
      </w:pPr>
    </w:p>
    <w:p w:rsidR="003E0406" w:rsidRDefault="003E0406" w:rsidP="003E0406">
      <w:pPr>
        <w:spacing w:line="240" w:lineRule="auto"/>
      </w:pPr>
      <w:r>
        <w:t>See http://extension.msstate.edu/lab for speci</w:t>
      </w:r>
      <w:r>
        <w:t xml:space="preserve">alized </w:t>
      </w:r>
      <w:r>
        <w:t xml:space="preserve">nematode services and their fees, or call </w:t>
      </w:r>
      <w:r>
        <w:br/>
      </w:r>
      <w:r>
        <w:t>(662) 325-</w:t>
      </w:r>
      <w:r>
        <w:t xml:space="preserve">2146 </w:t>
      </w:r>
      <w:r>
        <w:t>to discuss your needs.</w:t>
      </w:r>
    </w:p>
    <w:p w:rsidR="003E0406" w:rsidRDefault="003E0406" w:rsidP="003E0406">
      <w:pPr>
        <w:spacing w:line="240" w:lineRule="auto"/>
      </w:pPr>
      <w:r>
        <w:t>Fees are subject to change</w:t>
      </w:r>
      <w:r>
        <w:t xml:space="preserve">. Check the lab website for the </w:t>
      </w:r>
      <w:r>
        <w:t>most current fees.</w:t>
      </w:r>
    </w:p>
    <w:p w:rsidR="003E0406" w:rsidRDefault="003E0406" w:rsidP="003E0406">
      <w:pPr>
        <w:spacing w:line="240" w:lineRule="auto"/>
      </w:pPr>
      <w:r>
        <w:t>*General plant disease inc</w:t>
      </w:r>
      <w:r>
        <w:t xml:space="preserve">ludes anything that is not turf </w:t>
      </w:r>
      <w:r>
        <w:t>from a golf course.</w:t>
      </w:r>
    </w:p>
    <w:p w:rsidR="003E0406" w:rsidRDefault="003E0406" w:rsidP="003E0406">
      <w:pPr>
        <w:spacing w:line="240" w:lineRule="auto"/>
      </w:pPr>
      <w:r>
        <w:t>___________________________________________________________________</w:t>
      </w:r>
    </w:p>
    <w:p w:rsidR="003E0406" w:rsidRDefault="003E0406" w:rsidP="003E0406">
      <w:pPr>
        <w:spacing w:line="240" w:lineRule="auto"/>
        <w:jc w:val="center"/>
        <w:rPr>
          <w:b/>
        </w:rPr>
      </w:pPr>
    </w:p>
    <w:p w:rsidR="003E0406" w:rsidRPr="003E0406" w:rsidRDefault="00B939CA" w:rsidP="003E0406">
      <w:pPr>
        <w:spacing w:line="240" w:lineRule="auto"/>
        <w:jc w:val="center"/>
        <w:rPr>
          <w:b/>
        </w:rPr>
      </w:pPr>
      <w:r>
        <w:rPr>
          <w:b/>
        </w:rPr>
        <w:t>Mississippi Plant Diagnostic L</w:t>
      </w:r>
      <w:r w:rsidRPr="003E0406">
        <w:rPr>
          <w:b/>
        </w:rPr>
        <w:t>ab</w:t>
      </w:r>
    </w:p>
    <w:p w:rsidR="003E0406" w:rsidRDefault="003E0406" w:rsidP="003E0406">
      <w:pPr>
        <w:spacing w:line="240" w:lineRule="auto"/>
        <w:jc w:val="center"/>
      </w:pPr>
      <w:r>
        <w:t>190 Bost North, Rm. 09</w:t>
      </w:r>
      <w:r>
        <w:br/>
        <w:t>Box9612</w:t>
      </w:r>
      <w:r>
        <w:br/>
        <w:t>Mississippi State, MS 39762</w:t>
      </w:r>
    </w:p>
    <w:p w:rsidR="003E0406" w:rsidRDefault="003E0406" w:rsidP="003E0406">
      <w:pPr>
        <w:spacing w:line="240" w:lineRule="auto"/>
        <w:jc w:val="center"/>
      </w:pPr>
      <w:r>
        <w:t>(662) 325-2146</w:t>
      </w:r>
    </w:p>
    <w:p w:rsidR="003E0406" w:rsidRDefault="003E0406" w:rsidP="003E0406">
      <w:pPr>
        <w:spacing w:line="240" w:lineRule="auto"/>
        <w:jc w:val="center"/>
      </w:pPr>
      <w:r>
        <w:t>(662) 325-8336 (fax)</w:t>
      </w:r>
    </w:p>
    <w:p w:rsidR="003E0406" w:rsidRDefault="003E0406" w:rsidP="003E0406">
      <w:pPr>
        <w:spacing w:line="240" w:lineRule="auto"/>
        <w:jc w:val="center"/>
      </w:pPr>
      <w:hyperlink r:id="rId6" w:history="1">
        <w:r w:rsidRPr="00361E31">
          <w:rPr>
            <w:rStyle w:val="Hyperlink"/>
          </w:rPr>
          <w:t>http://extension.msstate.edu/lab</w:t>
        </w:r>
      </w:hyperlink>
    </w:p>
    <w:p w:rsidR="003E0406" w:rsidRPr="00B00C05" w:rsidRDefault="003E0406" w:rsidP="003E0406">
      <w:pPr>
        <w:spacing w:line="240" w:lineRule="auto"/>
        <w:jc w:val="center"/>
      </w:pPr>
      <w:r>
        <w:t>@MSUextPlantLab</w:t>
      </w:r>
    </w:p>
    <w:p w:rsidR="003E0406" w:rsidRDefault="003E0406" w:rsidP="003E0406">
      <w:pPr>
        <w:spacing w:line="240" w:lineRule="auto"/>
        <w:rPr>
          <w:b/>
          <w:bCs/>
        </w:rPr>
      </w:pPr>
    </w:p>
    <w:p w:rsidR="003E0406" w:rsidRPr="003E0406" w:rsidRDefault="003E0406" w:rsidP="003E0406">
      <w:pPr>
        <w:spacing w:line="240" w:lineRule="auto"/>
      </w:pPr>
      <w:r w:rsidRPr="003E0406">
        <w:rPr>
          <w:b/>
          <w:bCs/>
        </w:rPr>
        <w:t xml:space="preserve">M1230 </w:t>
      </w:r>
      <w:r w:rsidRPr="003E0406">
        <w:t>(POD-03-19)</w:t>
      </w:r>
    </w:p>
    <w:p w:rsidR="003E0406" w:rsidRPr="003E0406" w:rsidRDefault="003E0406" w:rsidP="003E0406">
      <w:pPr>
        <w:spacing w:line="240" w:lineRule="auto"/>
      </w:pPr>
      <w:r w:rsidRPr="003E0406">
        <w:t>By Clarissa Balbalian, Diagnostic Lab Manager, MSU Extension Plant</w:t>
      </w:r>
      <w:r>
        <w:t xml:space="preserve"> </w:t>
      </w:r>
      <w:r w:rsidRPr="003E0406">
        <w:t>Diagnostic Laboratory.</w:t>
      </w:r>
    </w:p>
    <w:p w:rsidR="003E0406" w:rsidRPr="003E0406" w:rsidRDefault="003E0406" w:rsidP="003E0406">
      <w:pPr>
        <w:spacing w:line="240" w:lineRule="auto"/>
        <w:rPr>
          <w:i/>
          <w:iCs/>
        </w:rPr>
      </w:pPr>
      <w:r w:rsidRPr="003E0406">
        <w:rPr>
          <w:i/>
          <w:iCs/>
        </w:rPr>
        <w:t>Copyright 2019 by Mississippi State University. All rights reserved.</w:t>
      </w:r>
      <w:r>
        <w:rPr>
          <w:i/>
          <w:iCs/>
        </w:rPr>
        <w:t xml:space="preserve"> </w:t>
      </w:r>
      <w:r w:rsidRPr="003E0406">
        <w:rPr>
          <w:i/>
          <w:iCs/>
        </w:rPr>
        <w:t>This publication may be copied and distributed without alteration for</w:t>
      </w:r>
      <w:r>
        <w:rPr>
          <w:i/>
          <w:iCs/>
        </w:rPr>
        <w:t xml:space="preserve"> </w:t>
      </w:r>
      <w:r w:rsidRPr="003E0406">
        <w:rPr>
          <w:i/>
          <w:iCs/>
        </w:rPr>
        <w:t>nonprofit educational purposes provided that credit is given to the</w:t>
      </w:r>
      <w:r>
        <w:rPr>
          <w:i/>
          <w:iCs/>
        </w:rPr>
        <w:t xml:space="preserve"> </w:t>
      </w:r>
      <w:r w:rsidRPr="003E0406">
        <w:rPr>
          <w:i/>
          <w:iCs/>
        </w:rPr>
        <w:t>Mississippi State University Extension Service.</w:t>
      </w:r>
    </w:p>
    <w:p w:rsidR="003E0406" w:rsidRPr="003E0406" w:rsidRDefault="003E0406" w:rsidP="003E0406">
      <w:pPr>
        <w:spacing w:line="240" w:lineRule="auto"/>
      </w:pPr>
      <w:r w:rsidRPr="003E0406">
        <w:t>Produced by Agricultural Communications.</w:t>
      </w:r>
    </w:p>
    <w:p w:rsidR="003E0406" w:rsidRPr="003E0406" w:rsidRDefault="003E0406" w:rsidP="003E0406">
      <w:pPr>
        <w:spacing w:line="240" w:lineRule="auto"/>
        <w:rPr>
          <w:i/>
          <w:iCs/>
        </w:rPr>
      </w:pPr>
      <w:r w:rsidRPr="003E0406">
        <w:rPr>
          <w:i/>
          <w:iCs/>
        </w:rPr>
        <w:lastRenderedPageBreak/>
        <w:t>Mississippi State University is an equal opportunity institution.</w:t>
      </w:r>
      <w:r>
        <w:rPr>
          <w:i/>
          <w:iCs/>
        </w:rPr>
        <w:t xml:space="preserve"> </w:t>
      </w:r>
      <w:r w:rsidRPr="003E0406">
        <w:rPr>
          <w:i/>
          <w:iCs/>
        </w:rPr>
        <w:t>Discrimination in university employment, programs, or activities</w:t>
      </w:r>
      <w:r>
        <w:rPr>
          <w:i/>
          <w:iCs/>
        </w:rPr>
        <w:t xml:space="preserve"> </w:t>
      </w:r>
      <w:r w:rsidRPr="003E0406">
        <w:rPr>
          <w:i/>
          <w:iCs/>
        </w:rPr>
        <w:t>based on race, color, ethnicity, sex, pregnancy, religion, national origin,</w:t>
      </w:r>
      <w:r>
        <w:rPr>
          <w:i/>
          <w:iCs/>
        </w:rPr>
        <w:t xml:space="preserve"> </w:t>
      </w:r>
      <w:r w:rsidRPr="003E0406">
        <w:rPr>
          <w:i/>
          <w:iCs/>
        </w:rPr>
        <w:t>disability, age, sexual orientation, genetic information, status as a U.S.</w:t>
      </w:r>
      <w:r>
        <w:rPr>
          <w:i/>
          <w:iCs/>
        </w:rPr>
        <w:t xml:space="preserve"> </w:t>
      </w:r>
      <w:r w:rsidRPr="003E0406">
        <w:rPr>
          <w:i/>
          <w:iCs/>
        </w:rPr>
        <w:t>veteran, or any other status protected by applicable law is prohibited.</w:t>
      </w:r>
      <w:r>
        <w:rPr>
          <w:i/>
          <w:iCs/>
        </w:rPr>
        <w:t xml:space="preserve"> </w:t>
      </w:r>
      <w:r w:rsidRPr="003E0406">
        <w:rPr>
          <w:i/>
          <w:iCs/>
        </w:rPr>
        <w:t>Questions about equal opportunity programs or compliance should be</w:t>
      </w:r>
      <w:r>
        <w:rPr>
          <w:i/>
          <w:iCs/>
        </w:rPr>
        <w:t xml:space="preserve"> </w:t>
      </w:r>
      <w:r w:rsidRPr="003E0406">
        <w:rPr>
          <w:i/>
          <w:iCs/>
        </w:rPr>
        <w:t>directed to the Office of Compliance and Integrity, 56 Morgan Avenue,</w:t>
      </w:r>
      <w:r>
        <w:rPr>
          <w:i/>
          <w:iCs/>
        </w:rPr>
        <w:t xml:space="preserve"> </w:t>
      </w:r>
      <w:r w:rsidRPr="003E0406">
        <w:rPr>
          <w:i/>
          <w:iCs/>
        </w:rPr>
        <w:t>P.O. 6044, Mississippi State, MS 39762, (662) 325-5839.</w:t>
      </w:r>
    </w:p>
    <w:p w:rsidR="003E0406" w:rsidRDefault="003E0406" w:rsidP="003E0406">
      <w:pPr>
        <w:spacing w:line="240" w:lineRule="auto"/>
      </w:pPr>
      <w:r w:rsidRPr="003E0406">
        <w:t>Extension Service of Mississippi State University, cooperating with</w:t>
      </w:r>
      <w:r>
        <w:t xml:space="preserve"> </w:t>
      </w:r>
      <w:r w:rsidRPr="003E0406">
        <w:t>U.S. Department of Agriculture. Published in furtherance of Acts of</w:t>
      </w:r>
      <w:r>
        <w:t xml:space="preserve"> </w:t>
      </w:r>
      <w:r w:rsidRPr="003E0406">
        <w:t>Congress, May 8 and June 30, 1914. GARY B. JACKSON, Director</w:t>
      </w:r>
    </w:p>
    <w:p w:rsidR="003E0406" w:rsidRDefault="003E0406" w:rsidP="003E0406">
      <w:pPr>
        <w:spacing w:line="240" w:lineRule="auto"/>
        <w:rPr>
          <w:b/>
        </w:rPr>
      </w:pPr>
    </w:p>
    <w:p w:rsidR="003E0406" w:rsidRDefault="003E0406" w:rsidP="003E0406">
      <w:pPr>
        <w:spacing w:line="240" w:lineRule="auto"/>
        <w:rPr>
          <w:b/>
        </w:rPr>
      </w:pPr>
    </w:p>
    <w:p w:rsidR="003E0406" w:rsidRDefault="003E0406" w:rsidP="003E0406">
      <w:pPr>
        <w:spacing w:line="240" w:lineRule="auto"/>
        <w:rPr>
          <w:b/>
        </w:rPr>
      </w:pPr>
    </w:p>
    <w:sectPr w:rsidR="003E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ED8"/>
    <w:multiLevelType w:val="hybridMultilevel"/>
    <w:tmpl w:val="1DD4C938"/>
    <w:lvl w:ilvl="0" w:tplc="4746CA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0C5"/>
    <w:multiLevelType w:val="hybridMultilevel"/>
    <w:tmpl w:val="D7E27F92"/>
    <w:lvl w:ilvl="0" w:tplc="13B673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FFA"/>
    <w:multiLevelType w:val="hybridMultilevel"/>
    <w:tmpl w:val="500E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5831"/>
    <w:multiLevelType w:val="hybridMultilevel"/>
    <w:tmpl w:val="F09EA636"/>
    <w:lvl w:ilvl="0" w:tplc="13B673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79D"/>
    <w:multiLevelType w:val="hybridMultilevel"/>
    <w:tmpl w:val="295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2E21"/>
    <w:multiLevelType w:val="hybridMultilevel"/>
    <w:tmpl w:val="B590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05"/>
    <w:rsid w:val="000A2DA0"/>
    <w:rsid w:val="00263295"/>
    <w:rsid w:val="00371360"/>
    <w:rsid w:val="003E0406"/>
    <w:rsid w:val="005F773F"/>
    <w:rsid w:val="007B6D0A"/>
    <w:rsid w:val="00B00C05"/>
    <w:rsid w:val="00B939CA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B1E2"/>
  <w15:chartTrackingRefBased/>
  <w15:docId w15:val="{7FA01245-9ACC-41DB-802B-51B66A4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DA0"/>
    <w:pPr>
      <w:keepNext/>
      <w:keepLines/>
      <w:tabs>
        <w:tab w:val="left" w:pos="380"/>
      </w:tabs>
      <w:spacing w:before="720" w:after="480" w:line="240" w:lineRule="auto"/>
      <w:textAlignment w:val="baseline"/>
      <w:outlineLvl w:val="0"/>
    </w:pPr>
    <w:rPr>
      <w:rFonts w:ascii="Arial" w:eastAsiaTheme="majorEastAsia" w:hAnsi="Arial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DA0"/>
    <w:pPr>
      <w:keepNext/>
      <w:keepLines/>
      <w:tabs>
        <w:tab w:val="left" w:pos="380"/>
      </w:tabs>
      <w:spacing w:before="40" w:after="0" w:line="240" w:lineRule="auto"/>
      <w:textAlignment w:val="baseline"/>
      <w:outlineLvl w:val="1"/>
    </w:pPr>
    <w:rPr>
      <w:rFonts w:ascii="Arial" w:eastAsiaTheme="majorEastAsia" w:hAnsi="Arial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DA0"/>
    <w:pPr>
      <w:keepNext/>
      <w:keepLines/>
      <w:tabs>
        <w:tab w:val="left" w:pos="380"/>
      </w:tabs>
      <w:spacing w:before="40" w:after="0" w:line="240" w:lineRule="auto"/>
      <w:textAlignment w:val="baseline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DA0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DA0"/>
    <w:rPr>
      <w:rFonts w:ascii="Arial" w:eastAsiaTheme="majorEastAsia" w:hAnsi="Arial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DA0"/>
    <w:rPr>
      <w:rFonts w:ascii="Arial" w:eastAsiaTheme="majorEastAsia" w:hAnsi="Arial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0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0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sion.msstate.edu/lab" TargetMode="External"/><Relationship Id="rId5" Type="http://schemas.openxmlformats.org/officeDocument/2006/relationships/hyperlink" Target="http://extension.msstate.edu/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Msues</dc:creator>
  <cp:keywords/>
  <dc:description/>
  <cp:lastModifiedBy>Msues</cp:lastModifiedBy>
  <cp:revision>6</cp:revision>
  <dcterms:created xsi:type="dcterms:W3CDTF">2019-03-07T22:09:00Z</dcterms:created>
  <dcterms:modified xsi:type="dcterms:W3CDTF">2019-03-07T22:40:00Z</dcterms:modified>
</cp:coreProperties>
</file>